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Инфекционные болезни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Инфекционные болезни | Записей: 2</w:t>
      </w:r>
    </w:p>
    <w:p>
      <w:r>
        <w:br w:type="page"/>
      </w:r>
    </w:p>
    <w:p>
      <w:pPr>
        <w:pStyle w:val="Heading1"/>
      </w:pPr>
      <w:r>
        <w:t>Инфекционные болезни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Инфекционные болезни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М. 25 лет обратился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лихорадку до 38,5ºС, отсутствие аппетита, тошноту, рвоту до 2-3 раз в день, поверхностный сон, головную боль, боли в суставах, боли в правом подреберье, темную мочу, желтушность склер.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•</w:t>
        <w:tab/>
        <w:t>Заболел остро 4 дня назад, когда температура тела повысилась до 38,5-39°С, снизился аппетит, появились тошнота, боли в крупных суставах, тяжесть в правом подреберье. Лечился дома самостоятельно, принимал жаропонижающие. К врачу не обращался.</w:t>
        <w:br/>
        <w:t>•</w:t>
        <w:tab/>
        <w:t>В последующие дни пропал аппетит, появились рвота до 2-3 раз в день, боли давящего характера в правом подреберье, поверхностный сон.</w:t>
        <w:br/>
        <w:t>•</w:t>
        <w:tab/>
        <w:t>На 3-й день болезни отметил потемнение мочи и желтушность склер, геморрагические элементы сыпи на коже.</w:t>
        <w:br/>
        <w:t>•</w:t>
        <w:tab/>
        <w:t>В связи с отсутствием эффекта от лечения в домашних условиях и ухудшением общего состояния обратился к врачу.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Работает курьером в интернет-магазине.</w:t>
        <w:br/>
        <w:t>•</w:t>
        <w:tab/>
        <w:t>Проживает в отдельной квартире один.</w:t>
        <w:br/>
        <w:t>•</w:t>
        <w:tab/>
        <w:t>Аллергоанамнез: не отягощен.</w:t>
        <w:br/>
        <w:t>•</w:t>
        <w:tab/>
        <w:t>Перенесенные инфекционные и неинфекционные заболевания: детские инфекции, простудные заболевания, аппендэктомия, со слов больного около 2-х лет назад перенес гепатиты В и Д, лечился в стационаре, на учете у врача инфекциониста не состоит.</w:t>
        <w:br/>
        <w:t>•</w:t>
        <w:tab/>
        <w:t>Вредные привычки: курит, злоупотребляет алкоголем (преимущественно пиво, водку), периодически принимает в/в наркотики.</w:t>
        <w:br/>
        <w:t>•</w:t>
        <w:tab/>
        <w:t>Парентеральный анамнез: в/в наркотики в течение 7 лет, беспорядочные половые связи.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•</w:t>
        <w:tab/>
        <w:t>Температура тела 38,3°С.</w:t>
        <w:br/>
        <w:t>•</w:t>
        <w:tab/>
        <w:t>Кожа и склеры желтушны, единичные геморрагии на туловище и верхних конечностях.</w:t>
        <w:br/>
        <w:t>•</w:t>
        <w:tab/>
        <w:t>Язык сухой, обложен бурым налетом.</w:t>
        <w:br/>
        <w:t>•</w:t>
        <w:tab/>
        <w:t>Живот умеренно вздут, болезненный  при пальпации в эпигастрии и правом подреберье.</w:t>
        <w:br/>
        <w:t>•</w:t>
        <w:tab/>
        <w:t>Печень на 1,5 см выступает из-под края реберной дуги, болезненная при пальпации, плотноватой консистенции, край заострен. Пальпируется полюс селезенки.</w:t>
        <w:br/>
        <w:t>•</w:t>
        <w:tab/>
        <w:t>Моча темная, стул задержан 2 дня.</w:t>
        <w:br/>
        <w:t>•</w:t>
        <w:tab/>
        <w:t>АД – 130/80 мм.рт.ст, ЧСС – 92 уд. в мин.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необходимо исследовать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посев крови на стерильность на высоте лихорадки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ИФА на определение маркеров ВЭБ-инфекции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сывороточного железа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ИФА для определения маркеров вирусных гепатитов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определение протромбинового индекса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ИФА для определения маркеров вирусных гепатитов; биохимический анализ крови; определение протромбинового индекса</w:t>
      </w:r>
    </w:p>
    <w:p>
      <w:pPr>
        <w:ind w:left="504"/>
      </w:pPr>
      <w:r>
        <w:rPr>
          <w:b w:val="0"/>
          <w:i/>
        </w:rPr>
        <w:t>Специфическим методом ранней диагностики всех форм острых вирусных гепатитов является обнаружение с помощью ИФА маркеров вирусных гепатитов (антигенов и антител с учетом классов иммуноглобулинов) в сыворотке крови.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диагностики поражения печени в биохимическом анализе крови определяется наличие и выраженность цитолитического синдрома, мезенхимального воспаления и холестаза.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Недостаточность белково-синтетической функции печени проявляется в количественном снижении факторов свертывания крови, истощения прокоагулянтного звена гемостаза. Практическое значение в оценке степени тяжести течения гепатита имеет факт снижения протромбинового индекса, что клинически проявляется развитием геморрагического синдрома.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необходимым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УЗИ органов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холесцинтиграфия (HIDA-сцинтиграфия)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обзорная рентгенография органов брюшной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ультрасонография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УЗИ органов брюшной полости</w:t>
      </w:r>
    </w:p>
    <w:p>
      <w:pPr>
        <w:ind w:left="504"/>
      </w:pPr>
      <w:r>
        <w:rPr>
          <w:b w:val="0"/>
          <w:i/>
        </w:rPr>
        <w:t>Рекомендуется всем пациентам с острым вирусным гепатитом В выполнение ультразвукового исследования (УЗИ) органов брюшной полости и забрюшинного пространства для диагностики увеличения и изменения структуры печени, увеличения селезенки, исключения сопутствующей патологии желудочно-кишечного тракта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пациентам с ХВГD ультразвуковое исследование органов брюшной полости (комплексное) для оценки стадии заболевания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клинико-анамнестических, лабораторных и инструментальных исследований можно думать о диагнозе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Хроническая ЭБВИ, реактивация, гепатит, тяжелое течение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Хронический вирусный гепатит В (HBeAg-позитивный) с дельта-агентом, тяжелое течение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Острый вирусный гепатит B с дельта-агентом (коинфекция),  желтушная форма, тяжелое течение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вирусный гепатит В, желтушная форма, тяжелое течение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вирусный гепатит В (HBeAg-позитивный) с дельта-агентом, тяжелое течение</w:t>
      </w:r>
    </w:p>
    <w:p>
      <w:pPr>
        <w:ind w:left="504"/>
      </w:pPr>
      <w:r>
        <w:rPr>
          <w:b w:val="0"/>
          <w:i/>
        </w:rPr>
        <w:t>Учитывая данные анамнеза заболевания: клиническое и ферментативное обострение хронического гепатита В, наличие маркеров хронического гепатита В и дельта-агента, данные эпид-анамнеза (хронический вирусный гепатит В, выявление дельта-агента 2 года назад), можно думать о диагнозе хронический вирусный гепатит В (HBeAg-позитивный) с дельта-агентом.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Хронический вирусный гепатит B,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проявлениям печеночной недостаточности при хроническом вирусном гепатите дельта относят развитие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отечно-асцитического синдрома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гепатоспленомегалии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холестатического синдрома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бульбарной симптоматики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отечно-асцитического синдрома</w:t>
      </w:r>
    </w:p>
    <w:p>
      <w:pPr>
        <w:ind w:left="504"/>
      </w:pPr>
      <w:r>
        <w:rPr>
          <w:b w:val="0"/>
          <w:i/>
        </w:rPr>
        <w:t>Рекомендуется у всех пациентов с подозрением на ХВГD выявление желтушного окрашивания кожи и слизистых оболочек, определение размеров (увеличение или уменьшение) и консистенции печени и селезенки при пальпации, признаков печеночной недостаточности (энцефалопатии, асцита, периферических отеков, гидроторакса, геморрагического синдрома) – для оценки тяжести заболевания и осложнений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Основной причиной летального исхода при острой дельта- (супер) инфекции хронического гепатита 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токсический мегаколон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сепсис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печеночная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гнойный менингоэнцефалит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печеночная недостаточность</w:t>
      </w:r>
    </w:p>
    <w:p>
      <w:pPr>
        <w:ind w:left="504"/>
      </w:pPr>
      <w:r>
        <w:rPr>
          <w:b w:val="0"/>
          <w:i/>
        </w:rPr>
        <w:t>Пациенты часто не доживают до развития гепатоцеллюлярной карциномы и погибают от осложнений цирроза печени, преимущественно от печеночной недостаточности.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Наиболее вероятным исходом хронического вирусного гепатита В с дельта-агентом (ХВГД)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выздоровление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гепатоцеллюлярная карцинома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хронический, активно прогрессирующий вирусный гепатит c формированием цирроза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быстрое развитие цирроза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быстрое развитие цирроза</w:t>
      </w:r>
    </w:p>
    <w:p>
      <w:pPr>
        <w:ind w:left="504"/>
      </w:pPr>
      <w:r>
        <w:rPr>
          <w:b w:val="0"/>
          <w:i/>
        </w:rPr>
        <w:t>ХВГD — наиболее тяжёлая форма хронического вирусного гепатита, угрожающая жизни пациентов, характеризуется преимущественно быстропрогрессирующим течением со значительно более быстрым развитием цирроза печени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этиотропного лечения хронического вирусного гепатита дельта ХВГД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тенофовира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энтекавира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фавипиравира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булевиртида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булевиртида</w:t>
      </w:r>
    </w:p>
    <w:p>
      <w:pPr>
        <w:ind w:left="504"/>
      </w:pPr>
      <w:r>
        <w:rPr>
          <w:b w:val="0"/>
          <w:i/>
        </w:rPr>
        <w:t>Монотерапия: Булевиртид 2 мг 1 раз в день п/к в течение 48 недель, далее при необходимости продолжение лечения под контролем показателей вирусологического и биохимического ответа на лечение до достижения целей лечения гепатита D.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Длительность приема булевиртида при монотерапии должна составлять не менее _____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48</w:t>
      </w:r>
    </w:p>
    <w:p>
      <w:pPr>
        <w:ind w:left="504"/>
      </w:pPr>
      <w:r>
        <w:rPr>
          <w:b w:val="0"/>
          <w:i/>
        </w:rPr>
        <w:t>Монотерапия: Булевиртид 2 мг 1 раз в день п/к в течение 48 недель, далее при необходимости продолжение лечения под контролем показателей вирусологического и биохимического ответа на лечение до достижения целей лечения гепатита D.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Комбинированная терапия хронического вирусного гепатита дельта (ХВГД) включает сочетание булевиртида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интерфероном бета-1b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тенофовиром алафенамида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пэгинтерфероном альфа-2a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тилороном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пэгинтерфероном альфа-2a</w:t>
      </w:r>
    </w:p>
    <w:p>
      <w:pPr>
        <w:ind w:left="504"/>
      </w:pPr>
      <w:r>
        <w:rPr>
          <w:b w:val="0"/>
          <w:i/>
        </w:rPr>
        <w:t>Булевиртид 2 мг 1 раз в день п/к в течение 48 недель + #Пэгинтерферон альфа-2a (40 кДа) 180 мкг 1 раз в неделю п/к в течение 48 недель, далее при необходимости продолжение лечения под контролем показателей вирусологического, биохимического и серологического ответа на лечение до достижения целей лечения гепатита D.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контроля эффективности лечения пациентов с хроническим вирусным гепатитом дельта (ХВГД) показано количественное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Anti HDV IgG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Anti HDV IgM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РНК HDV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ДНК HBV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РНК HDV</w:t>
      </w:r>
    </w:p>
    <w:p>
      <w:pPr>
        <w:ind w:left="504"/>
      </w:pPr>
      <w:r>
        <w:rPr>
          <w:b w:val="0"/>
          <w:i/>
        </w:rPr>
        <w:t>Рекомендуется пациентам с ХВГD с положительным результатом Определения РНК вируса гепатита D (_Hepatitis D virus_) в крови методом ПЦР, качественного исследования, которым планируется проведение этиотропного (противовирусного) лечения Определение РНК вируса гепатита D (_Hepatitis D virus_) в крови методом ПЦР, количественное исследование (при наличии) для последующего контроля эффективности лечения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целях профилактики инфицирования вирусом гепатита Д назначают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иммуноглобулин против гепатита 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рибавирин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интерферон альфа-2a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вакцинацию против гепатита 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вакцинацию против гепатита В</w:t>
      </w:r>
    </w:p>
    <w:p>
      <w:pPr>
        <w:ind w:left="504"/>
      </w:pPr>
      <w:r>
        <w:rPr>
          <w:b w:val="0"/>
          <w:i/>
        </w:rPr>
        <w:t>Рекомендуется всем лицам вакцина для профилактики вирусного гепатита В в соответствии с национальным календарем профилактических прививок и календарем профилактических прививок по эпидемическим показаниям для предупреждения развития инфекции ВГD.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Пациентам с ХВГD после завершения этиотропного (противовирусного) лечения показано динамическое наблюдение с частотой обследования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каждые 3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 раза в 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раза в год</w:t>
      </w:r>
    </w:p>
    <w:p>
      <w:pPr>
        <w:ind w:left="504"/>
      </w:pPr>
      <w:r>
        <w:rPr>
          <w:b w:val="0"/>
          <w:i/>
        </w:rPr>
        <w:t>Рекомендуется пациентам с ХВГD после завершения этиотропного (противовирусного) лечения динамическое наблюдение врача-инфекциониста, врача общей практики (семейного врача), врача-терапевта, врача-гастроэнтеролога с частотой обследования 2 раза в год (или чаще при наличии показаний)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Хронический вирусный гепатит D (ХВГD) у взрослых,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Инфекционные болезни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Инфекционные болезни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21.08 пациентка Т, 19-ти лет, доставлена в инфекционный стационар на 16-й день болезни.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длительную лихорадку, общее недомогание, слабость, появление припухлости в области шеи.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Больна больше 2-х недель, когда остро с озноба повысилась температура тела до 38,6ºС, появились общее недомогание, головная боль, слабость. На 3-й день появились боли в горле при глотании, преимущественно с левой стороны.</w:t>
      </w:r>
    </w:p>
    <w:p>
      <w:pPr>
        <w:spacing w:after="58"/>
      </w:pPr>
      <w:r>
        <w:rPr>
          <w:b w:val="0"/>
          <w:i w:val="0"/>
        </w:rPr>
        <w:t>* Лечилась самостоятельно: принимала парацетамол, полоскала горло раствором фурациллина, орошала ротоглотку «тантум-верде». Температура тела держалась в пределах 37,4-37,8℃, продолжала беспокоить общая слабость, боли в горле были незначительными, только с левой стороны.</w:t>
      </w:r>
    </w:p>
    <w:p>
      <w:pPr>
        <w:spacing w:after="58"/>
      </w:pPr>
      <w:r>
        <w:rPr>
          <w:b w:val="0"/>
          <w:i w:val="0"/>
        </w:rPr>
        <w:t>* Обратилась в фельдшерский пункт по месту жительства. Диагносцирована лакунарная ангина. Назначен амоксиклав 500 мг*3 раза в сутки, антисептики. Прошла полный курс антибиотикотерапии (7 дней). Боли в горле исчезли, однако стала беспокоить припухлость в левой подчелюстной области, которая стала нарастать. Сохранялся субфебрилитет.</w:t>
      </w:r>
    </w:p>
    <w:p>
      <w:pPr>
        <w:spacing w:after="58"/>
      </w:pPr>
      <w:r>
        <w:rPr>
          <w:b w:val="0"/>
          <w:i w:val="0"/>
        </w:rPr>
        <w:t>* По «03» госпитализирована в инфекционный стационар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Студентка ВУЗа, проживает во время учебы в общежитии.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spacing w:after="58"/>
      </w:pPr>
      <w:r>
        <w:rPr>
          <w:b w:val="0"/>
          <w:i w:val="0"/>
        </w:rPr>
        <w:t>* Перенесенные заболевания: детские инфекции, простудные заболевания</w:t>
      </w:r>
    </w:p>
    <w:p>
      <w:pPr>
        <w:spacing w:after="58"/>
      </w:pPr>
      <w:r>
        <w:rPr>
          <w:b w:val="0"/>
          <w:i w:val="0"/>
        </w:rPr>
        <w:t>* Эпиданамнез: в настоящий момент (в течение 2-х месяцев) проживает в сельской местности у бабушки, в частном деревенском доме, без централизованного водоснабжения. Воду для бытовых нужд получают из скважины, иногда из колодца. Помогает ухаживать за кроликами. Неоднократно купалась в местной реке. Были укусы насекомых, в том числе и клещей. Питается овощами, ягодами с огорода, молочные продукты покупает у местных жителей, употребляет в пищу мясо домашних кроликов.</w:t>
      </w:r>
    </w:p>
    <w:p>
      <w:pPr>
        <w:spacing w:after="58"/>
      </w:pPr>
      <w:r>
        <w:rPr>
          <w:b w:val="0"/>
          <w:i w:val="0"/>
        </w:rPr>
        <w:t>* Прививочный анамнез: Привита по возрасту.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37,4ºС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нормальной окраски, выявляется асимметрия шеи за счет значительного увеличения лимфоузла в левой подчелюстной области.</w:t>
      </w:r>
    </w:p>
    <w:p>
      <w:pPr>
        <w:spacing w:after="58"/>
      </w:pPr>
      <w:r>
        <w:rPr>
          <w:b w:val="0"/>
          <w:i w:val="0"/>
        </w:rPr>
        <w:t>* Рот открывается свободно. Глотание безболезненное. Слизистая ротоглотки нормальной окраски, влажная. Миндалины с обеих сторон гипертрофированы, без признаков острого воспаления, рубцовые изменения на левой миндалине. При осмотре слизистых щек отечности и гиперемии вокруг устья выводного протока нет.</w:t>
      </w:r>
    </w:p>
    <w:p>
      <w:pPr>
        <w:spacing w:after="58"/>
      </w:pPr>
      <w:r>
        <w:rPr>
          <w:b w:val="0"/>
          <w:i w:val="0"/>
        </w:rPr>
        <w:t>* Слева, под нижней челюстью пальпируется конгломерат, размером с грецкий орех, малоболезненный при пальпации, четко отграниченный от подлежащих тканей, кожа над ним несколько гиперемирована, не горячая. Лимфоузлы других групп не увеличены.</w:t>
      </w:r>
    </w:p>
    <w:p>
      <w:r>
        <w:drawing>
          <wp:inline xmlns:a="http://schemas.openxmlformats.org/drawingml/2006/main" xmlns:pic="http://schemas.openxmlformats.org/drawingml/2006/picture">
            <wp:extent cx="5303520" cy="358444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ef52178848a66c16d78ca21a3994a2083b89550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8444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* В легких дыхание везикулярное, хрипов нет. ЧДД – 18 в мин.</w:t>
      </w:r>
    </w:p>
    <w:p>
      <w:pPr>
        <w:spacing w:after="58"/>
      </w:pPr>
      <w:r>
        <w:rPr>
          <w:b w:val="0"/>
          <w:i w:val="0"/>
        </w:rPr>
        <w:t>* АД-120/70 мм рт. ст, ЧСС – 76 уд. в мин.</w:t>
      </w:r>
    </w:p>
    <w:p>
      <w:pPr>
        <w:spacing w:after="58"/>
      </w:pPr>
      <w:r>
        <w:rPr>
          <w:b w:val="0"/>
          <w:i w:val="0"/>
        </w:rPr>
        <w:t>* Печень и селезенка не увеличены.</w:t>
      </w:r>
    </w:p>
    <w:p>
      <w:pPr>
        <w:spacing w:after="58"/>
      </w:pPr>
      <w:r>
        <w:rPr>
          <w:b w:val="0"/>
          <w:i w:val="0"/>
        </w:rPr>
        <w:t>* Живот мягкий, безболезненный. Стул оформленный.</w:t>
      </w:r>
    </w:p>
    <w:p>
      <w:pPr>
        <w:spacing w:after="58"/>
      </w:pPr>
      <w:r>
        <w:rPr>
          <w:b w:val="0"/>
          <w:i w:val="0"/>
        </w:rPr>
        <w:t>* Мочеиспускание не нарушено. Симптом поколачивания отрицательный с обеих сторон.</w:t>
      </w:r>
    </w:p>
    <w:p>
      <w:pPr>
        <w:spacing w:after="58"/>
      </w:pPr>
      <w:r>
        <w:rPr>
          <w:b w:val="0"/>
          <w:i w:val="0"/>
        </w:rPr>
        <w:t>* В сознании, адекватна. Очаговой и менингеальной симптоматики нет.</w:t>
      </w:r>
    </w:p>
    <w:p>
      <w:pPr>
        <w:spacing w:after="58"/>
      </w:pPr>
      <w:r>
        <w:rPr>
          <w:b w:val="0"/>
          <w:i w:val="0"/>
        </w:rPr>
        <w:t>В приемном покое сделано УЗИ поднижнечелюстной области. Заключение: множественные негомогенные очаги сниженной эхогенности с усилением перфузии, характерные для лимфаденита.</w:t>
      </w:r>
    </w:p>
    <w:p>
      <w:pPr>
        <w:spacing w:after="58"/>
      </w:pPr>
      <w:r>
        <w:rPr>
          <w:b w:val="0"/>
          <w:i w:val="0"/>
        </w:rPr>
        <w:t>Рентгенография ОГК: патологических изменений вне выявлено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лабораторным методом исследования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реакция агглютинации (РА) на качественное определение антител к Brucella species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реакция пассивной гемагглютинации (РПГА) на полуколичественное определение антител к _Francisella tularensis_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иммуноферментный анализ (ИФА) на определение антител к _Coxiella burnetii_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реакция гетерогемагглютинации Хофф-Бауэра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диаскин-тест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реакция пассивной гемагглютинации (РПГА) на полуколичественное определение антител к _Francisella tularensis_</w:t>
      </w:r>
    </w:p>
    <w:p>
      <w:pPr>
        <w:ind w:left="504"/>
      </w:pPr>
      <w:r>
        <w:rPr>
          <w:b w:val="0"/>
          <w:i/>
        </w:rPr>
        <w:t>Основные серологические методы - РА и РПГА с диагностическим титром 1:100 и выше (стандарт диагностики). Диагностическая ценность РПГА выше, так как антитела в титре 1:100 обнаруживают рано, уже к концу 1-й недели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Диагностика</w:t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лабораторного метода обследования</w:t>
      </w:r>
    </w:p>
    <w:p>
      <w:pPr>
        <w:pStyle w:val="Heading3"/>
      </w:pPr>
      <w:r>
        <w:t>3.1. РПГА на полуколичественное определение антител к Francisella tularensis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Anti-Francisella tularensis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≥ 1:100 – условно - диагностический титр у невакцинированных лиц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1:1260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Титры антител к Francisella tularensis в РПГА:</w:t>
      </w:r>
    </w:p>
    <w:p>
      <w:pPr>
        <w:pStyle w:val="Heading3"/>
      </w:pPr>
      <w:r>
        <w:t>3.2. Реакция агглютинации (РА) на качественное определение антител к Brucella species</w:t>
      </w:r>
    </w:p>
    <w:p>
      <w:pPr>
        <w:spacing w:after="58"/>
      </w:pPr>
      <w:r>
        <w:rPr>
          <w:b w:val="0"/>
          <w:i w:val="0"/>
        </w:rPr>
        <w:t>Обнаружение антител к Brucella species в РА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Anti-Brucella species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клинико-анамнестические и лабораторные данные,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Бруцеллез, остросептическая форма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Ку-лихорадка, острая форма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Туляремия, ангинозногландулярная форма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Инфекционный мононуклеоз, типичная форма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Туляремия, ангинозногландулярная форма</w:t>
      </w:r>
    </w:p>
    <w:p>
      <w:pPr>
        <w:ind w:left="504"/>
      </w:pPr>
      <w:r>
        <w:rPr>
          <w:b w:val="0"/>
          <w:i/>
        </w:rPr>
        <w:t>Учитывая острое начало с интоксикационного синдрома (озноб, лихорадка, недомогание, слабость), наличие тонзиллита (анамнестически одностороннего с развитием рубцовых изменений), формирование регионального бубона (слабо болезненный, плотно-эластической консистенции, продолжающего увеличиваться в размере после стихания воспаления в ротоглотке), данные эпидемиологического анамнеза (проживание в сельской местности, контакт с сельскохозяйственными животными, употребление продуктов животноводства), данные лабораторного исследование (обнаружение диагностических титров антител к туляремии), можно думать о диагнозе: туляремия, ангинозногландулярная форма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картина.</w:t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Туляремия, ангинозногландулярная форма</w:t>
      </w:r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периода разгара ангинозногландулярной формы туляремии в общем анализе крови характерен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гипернейтрофилез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лимфомоноцитоз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агранулоцитоз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пойкилоцитоз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лимфомоноцитоз</w:t>
      </w:r>
    </w:p>
    <w:p>
      <w:pPr>
        <w:ind w:left="504"/>
      </w:pPr>
      <w:r>
        <w:rPr>
          <w:b w:val="0"/>
          <w:i/>
        </w:rPr>
        <w:t>Периоду разгара болезни свойственна лейкопения с лимфо или моноцитозом.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Диагностика</w:t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Первичный аффект при ангинозногландулярной форме туляремии характеризуется наличием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грануломатозного ринита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некротической ангины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специфического лимфаденита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язвенного изменения кожи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некротической ангины</w:t>
      </w:r>
    </w:p>
    <w:p>
      <w:pPr>
        <w:ind w:left="504"/>
      </w:pPr>
      <w:r>
        <w:rPr>
          <w:b w:val="0"/>
          <w:i/>
        </w:rPr>
        <w:t>В месте входных ворот инфекции происходит размножение возбудителя с развитием некротически-воспалительной реакции и первичного аффекта (кожная язва, проходящая стадии папулы, везикулы и пустулы; на миндалинах - некротическая ангина, в легких - очаговая некротическая пневмония, на конъюнктиве - конъюнктивит)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Патогенез</w:t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Тонзиллит при ангинозногландулярной форме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двусторонним поражением с белыми островчатыми налетами, легко отделяемыми шпателем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двусторонним поражением с блестящими серо-белыми «перламутровыми» налетами «плюс ткань», выходящими за пределы миндалин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односторонним поражением с зеленоватыми пастообразными наслоениями с гнилостным запахом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односторонним поражением с серовато-белым островчатым или пленчатым трудноснимаемым налетом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односторонним поражением с серовато-белым островчатым или пленчатым трудноснимаемым налетом</w:t>
      </w:r>
    </w:p>
    <w:p>
      <w:pPr>
        <w:ind w:left="504"/>
      </w:pPr>
      <w:r>
        <w:rPr>
          <w:b w:val="0"/>
          <w:i/>
        </w:rPr>
        <w:t>Специфический тонзиллит характеризуется гиперемией с синюшным оттенком и отечностью миндалины, серовато-белым островчатым или пленчатым налетом. Налеты снимаются с трудом и напоминают дифтерийные, но они не распространяются за пределы миндалин.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картина.</w:t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Бубон при ангинозногландулярной форме туляремии в периоде его формирования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малоболезненностью при пальпации с обычной окраской кожи над ним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спаянностью с окружающими тканями и геморрагическим пропитыванием кожи над ним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резкой болезненностью, малоподвижностью с нечеткими контурами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тестообразной консистенцией и умеренной болезненностью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малоболезненностью при пальпации с обычной окраской кожи над ним</w:t>
      </w:r>
    </w:p>
    <w:p>
      <w:pPr>
        <w:ind w:left="504"/>
      </w:pPr>
      <w:r>
        <w:rPr>
          <w:b w:val="0"/>
          <w:i/>
        </w:rPr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картина.</w:t>
        <w:br/>
        <w:br/>
        <w:t>Одновременно с развитием тонзиллита наблюдают шейный (чаще поднижнечелюстной) лимфаденит со всеми признаками туляремийного бубона (размеры - от грецкого ореха до куриного яйца). Иногда бубон формируется позднее тонзиллита. +</w:t>
        <w:br/>
        <w:t>Размеры бубона могут варьировать от величины лесного ореха до 10 см. Окраска кожи над бубоном сначала не изменена; подвижность ограничена, болезненность выражена слабо.</w:t>
        <w:br/>
        <w:br/>
      </w:r>
      <w:hyperlink r:id="rId3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Ангинозногландулярную форму туляремии следует дифференцировать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бруцеллеза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инфекционного мононуклеоза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доброкачественного лимфоретикулёза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стрептобациллеза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инфекционного мононуклеоза</w:t>
      </w:r>
    </w:p>
    <w:p>
      <w:pPr>
        <w:ind w:left="504"/>
      </w:pPr>
      <w:r>
        <w:rPr>
          <w:b w:val="0"/>
          <w:i/>
        </w:rPr>
        <w:t>При проведении дифференциальной диагностики необходимо исключить чуму, сибирскую язву, неспецифический лимфаденит, туберкулез, сепсис, малярию, бруцеллез, паротит, доброкачественный лимфоретикулез, ИМ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Дифференциальная диагностика</w:t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качестве основной этиотропной терапии при туляремии назначают +_______________+ в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бензилпенициллин 6 млн ЕД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доксициклин 0,2 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меропенем 1,5 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азитромицин 0,5 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доксициклин 0,2 г</w:t>
      </w:r>
    </w:p>
    <w:p>
      <w:pPr>
        <w:ind w:left="504"/>
      </w:pPr>
      <w:r>
        <w:rPr>
          <w:b w:val="0"/>
          <w:i/>
        </w:rPr>
        <w:t>Основные этиотропные препараты - аминогликозиды и тетрациклины (стандарт лечения). +</w:t>
        <w:br/>
        <w:t>Возможен прием внутрь доксициклина в суточной дозе 0,2 г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Лечение</w:t>
        <w:br/>
        <w:br/>
      </w:r>
      <w:hyperlink r:id="rId3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Длительность курса антибактериальной терапии при туляремии составляет +_____+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14-21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10-14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5-7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21-28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10-14</w:t>
      </w:r>
    </w:p>
    <w:p>
      <w:pPr>
        <w:ind w:left="504"/>
      </w:pPr>
      <w:r>
        <w:rPr>
          <w:b w:val="0"/>
          <w:i/>
        </w:rPr>
        <w:t>Длительность курса антибиотикотерапии составляет 10-14 дней (до 5-7-го дня нормальной температуры).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Лечение</w:t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На третий день госпитализации кожа над лимфоузлом приобрела багрово-синюшный оттенок, появилась её спаянность с узлом, отмечается флюктуация, сохраняется умеренная болезненность бубона. Учитывая изменения в области бубона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иссечение узла с капсулой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согревающие повязки с димексидом 1:4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местную гипотермию с хлорэтилом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электрофорез с лидазой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иссечение узла с капсулой</w:t>
      </w:r>
    </w:p>
    <w:p>
      <w:pPr>
        <w:ind w:left="504"/>
      </w:pPr>
      <w:r>
        <w:rPr>
          <w:b w:val="0"/>
          <w:i/>
        </w:rPr>
        <w:t>Реже отмечают нагноение (с конца второй - начала третьей недели). При этом кожа над ЛУ краснеет, узел спаивается с кожей и становится более болезненным, появляется флюктуация. В дальнейшем образуется свищ, через который выделяется густой сливкообразный гной. В этом случае заживление или рассасывание бубона происходит очень медленно, волнообразно, часто с рубцеванием и склерозированием ЛУ. В связи с этим при нагноении и четкой флюктуации рекомендуется иссекать узел, это ускоряет заживление. +</w:t>
        <w:br/>
        <w:t>При нагноении бубона, возникновении флюктуации необходимо хирургическое вмешательство: иссечение нагноившегося узла с капсулой.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</w:t>
        <w:br/>
        <w:br/>
      </w:r>
      <w:hyperlink r:id="rId3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5.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ангинозногландулярной формы туляремии характерен +______________________+ путь заражения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воздушно-пылевой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контаминационный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инокуляционный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алиментарный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алиментарный</w:t>
      </w:r>
    </w:p>
    <w:p>
      <w:pPr>
        <w:ind w:left="504"/>
      </w:pPr>
      <w:r>
        <w:rPr>
          <w:b w:val="0"/>
          <w:i/>
        </w:rPr>
        <w:t>Ангинозно-бубонная (ангинозногландулярная) форма возникает при заражении алиментарным путем (продуктами или водой, в частности при употреблении недостаточно термически обработанного мяса, чаще зайчатины)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</w:t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Инкубационный период при туляремии длится до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6-ти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3-х недель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4-х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5-ти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3-х недель</w:t>
      </w:r>
    </w:p>
    <w:p>
      <w:pPr>
        <w:ind w:left="504"/>
      </w:pPr>
      <w:r>
        <w:rPr>
          <w:b w:val="0"/>
          <w:i/>
        </w:rPr>
        <w:t>Инкубационный период составляет от нескольких часов до 3 нед (в среднем 3-7 дней)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</w:t>
        <w:br/>
        <w:br/>
      </w:r>
      <w:hyperlink r:id="rId4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900_1/" TargetMode="External"/><Relationship Id="rId10" Type="http://schemas.openxmlformats.org/officeDocument/2006/relationships/hyperlink" Target="https://library.mededtech.ru/rest/documents/900_1/#list_item_ke8tqb" TargetMode="External"/><Relationship Id="rId11" Type="http://schemas.openxmlformats.org/officeDocument/2006/relationships/hyperlink" Target="https://library.mededtech.ru/rest/documents/673_2/" TargetMode="External"/><Relationship Id="rId12" Type="http://schemas.openxmlformats.org/officeDocument/2006/relationships/hyperlink" Target="https://library.mededtech.ru/rest/documents/673_2/#list_item_itoei2" TargetMode="External"/><Relationship Id="rId13" Type="http://schemas.openxmlformats.org/officeDocument/2006/relationships/hyperlink" Target="https://library.mededtech.ru/rest/documents/900_1/#list_item_51hctm" TargetMode="External"/><Relationship Id="rId14" Type="http://schemas.openxmlformats.org/officeDocument/2006/relationships/hyperlink" Target="https://library.mededtech.ru/rest/documents/673_2/#list_item_uj5mge" TargetMode="External"/><Relationship Id="rId15" Type="http://schemas.openxmlformats.org/officeDocument/2006/relationships/hyperlink" Target="https://library.mededtech.ru/rest/documents/900_1/#list_item_fu0fm8" TargetMode="External"/><Relationship Id="rId16" Type="http://schemas.openxmlformats.org/officeDocument/2006/relationships/hyperlink" Target="https://library.mededtech.ru/rest/documents/673_2/#list_item_346otk" TargetMode="External"/><Relationship Id="rId17" Type="http://schemas.openxmlformats.org/officeDocument/2006/relationships/hyperlink" Target="https://library.mededtech.ru/rest/documents/900_1/#list_item_09n7jg" TargetMode="External"/><Relationship Id="rId18" Type="http://schemas.openxmlformats.org/officeDocument/2006/relationships/hyperlink" Target="https://library.mededtech.ru/rest/documents/673_2/#list_item_oub326" TargetMode="External"/><Relationship Id="rId19" Type="http://schemas.openxmlformats.org/officeDocument/2006/relationships/hyperlink" Target="https://library.mededtech.ru/rest/documents/900_1/#paragraph_ke87lm" TargetMode="External"/><Relationship Id="rId20" Type="http://schemas.openxmlformats.org/officeDocument/2006/relationships/hyperlink" Target="https://library.mededtech.ru/rest/documents/673_2/#paragraph_kscclj" TargetMode="External"/><Relationship Id="rId21" Type="http://schemas.openxmlformats.org/officeDocument/2006/relationships/hyperlink" Target="https://library.mededtech.ru/rest/documents/ISBN9785970465196/?anchor=paragraph_mte8jc#paragraph_mte8jc" TargetMode="External"/><Relationship Id="rId22" Type="http://schemas.openxmlformats.org/officeDocument/2006/relationships/hyperlink" Target="https://library.mededtech.ru/rest/documents/673_2/#list_item_0p1cru" TargetMode="External"/><Relationship Id="rId23" Type="http://schemas.openxmlformats.org/officeDocument/2006/relationships/hyperlink" Target="https://library.mededtech.ru/rest/documents/673_2/#paragraph_09lhe6" TargetMode="External"/><Relationship Id="rId24" Type="http://schemas.openxmlformats.org/officeDocument/2006/relationships/hyperlink" Target="https://library.mededtech.ru/rest/documents/673_2/#list_item_65cg8s" TargetMode="External"/><Relationship Id="rId25" Type="http://schemas.openxmlformats.org/officeDocument/2006/relationships/hyperlink" Target="https://library.mededtech.ru/rest/documents/673_2/#list_item_24mclg" TargetMode="External"/><Relationship Id="rId26" Type="http://schemas.openxmlformats.org/officeDocument/2006/relationships/hyperlink" Target="https://library.mededtech.ru/rest/documents/673_2/#list_item_lmb98i" TargetMode="External"/><Relationship Id="rId27" Type="http://schemas.openxmlformats.org/officeDocument/2006/relationships/hyperlink" Target="https://library.mededtech.ru/rest/documents/673_2/#list_item_t48f3c" TargetMode="External"/><Relationship Id="rId28" Type="http://schemas.openxmlformats.org/officeDocument/2006/relationships/hyperlink" Target="https://library.mededtech.ru/rest/documents/673_2/#list_item_53tuu3" TargetMode="External"/><Relationship Id="rId29" Type="http://schemas.openxmlformats.org/officeDocument/2006/relationships/hyperlink" Target="https://library.mededtech.ru/rest/documents/673_2/#list_item_0q1h0k" TargetMode="External"/><Relationship Id="rId30" Type="http://schemas.openxmlformats.org/officeDocument/2006/relationships/image" Target="media/image1.jpg"/><Relationship Id="rId31" Type="http://schemas.openxmlformats.org/officeDocument/2006/relationships/hyperlink" Target="https://library.mededtech.ru/rest/documents/ISBN9785970449127/?anchor=paragraph_2l8npn#paragraph_2l8npn" TargetMode="External"/><Relationship Id="rId32" Type="http://schemas.openxmlformats.org/officeDocument/2006/relationships/hyperlink" Target="https://library.mededtech.ru/rest/documents/ISBN9785970449127/?anchor=&#1050;&#1051;&#1048;&#1053;&#1048;&#1063;&#1045;&#1057;&#1050;&#1040;&#1071;_&#1050;&#1040;&#1056;&#1058;&#1048;&#1053;&#1040;_14#&#1050;&#1051;&#1048;&#1053;&#1048;&#1063;&#1045;&#1057;&#1050;&#1040;&#1071;_&#1050;&#1040;&#1056;&#1058;&#1048;&#1053;&#1040;_14" TargetMode="External"/><Relationship Id="rId33" Type="http://schemas.openxmlformats.org/officeDocument/2006/relationships/hyperlink" Target="https://library.mededtech.ru/rest/documents/ISBN9785970449127/?anchor=paragraph_mukcu5#paragraph_mukcu5" TargetMode="External"/><Relationship Id="rId34" Type="http://schemas.openxmlformats.org/officeDocument/2006/relationships/hyperlink" Target="https://library.mededtech.ru/rest/documents/ISBN9785970449127/?anchor=paragraph_21m6e5#paragraph_21m6e5" TargetMode="External"/><Relationship Id="rId35" Type="http://schemas.openxmlformats.org/officeDocument/2006/relationships/hyperlink" Target="https://library.mededtech.ru/rest/documents/ISBN9785970449127/?anchor=paragraph_mv1e1m#paragraph_mv1e1m" TargetMode="External"/><Relationship Id="rId36" Type="http://schemas.openxmlformats.org/officeDocument/2006/relationships/hyperlink" Target="https://library.mededtech.ru/rest/documents/ISBN9785970449127/?anchor=paragraph_ce4vud#paragraph_ce4vud" TargetMode="External"/><Relationship Id="rId37" Type="http://schemas.openxmlformats.org/officeDocument/2006/relationships/hyperlink" Target="https://library.mededtech.ru/rest/documents/ISBN9785970449127/?anchor=paragraph_a8455e#paragraph_a8455e" TargetMode="External"/><Relationship Id="rId38" Type="http://schemas.openxmlformats.org/officeDocument/2006/relationships/hyperlink" Target="https://library.mededtech.ru/rest/documents/ISBN9785970449127/?anchor=paragraph_2qarmo#paragraph_2qarmo" TargetMode="External"/><Relationship Id="rId39" Type="http://schemas.openxmlformats.org/officeDocument/2006/relationships/hyperlink" Target="https://library.mededtech.ru/rest/documents/ISBN9785970449127/?anchor=paragraph_jvoshd#paragraph_jvoshd" TargetMode="External"/><Relationship Id="rId40" Type="http://schemas.openxmlformats.org/officeDocument/2006/relationships/hyperlink" Target="https://library.mededtech.ru/rest/documents/ISBN9785970449127/?anchor=paragraph_uh4tj1#paragraph_uh4tj1" TargetMode="External"/><Relationship Id="rId41" Type="http://schemas.openxmlformats.org/officeDocument/2006/relationships/hyperlink" Target="https://library.mededtech.ru/rest/documents/ISBN9785970449127/?anchor=paragraph_vg4tr6#paragraph_vg4tr6" TargetMode="External"/><Relationship Id="rId42" Type="http://schemas.openxmlformats.org/officeDocument/2006/relationships/hyperlink" Target="https://library.mededtech.ru/rest/documents/ISBN9785970449127/?anchor=paragraph_34vk7j#paragraph_34vk7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